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Исчисление государственной пошлины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 соответствии с пунктом 1 статьи 333.16 Налогового кодекса Российс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кой Федерации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государственная п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ошлина – сбор,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взимаемый с лиц за совершение в отношении них ю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ридич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ески значимых действий.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Поло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жениями статьи 52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Налогового кодекса РФ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определен порядок исчисления налога, сбора.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 с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оо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тветствии с п. 6 статьи 52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Налогового кодекса РФ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сумма налога, сбора исчисляется в полных рублях: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  <w:t xml:space="preserve">-сумма налога менее 50 копеек о</w:t>
      </w:r>
      <w:r>
        <w:rPr>
          <w:rFonts w:ascii="Tinos" w:hAnsi="Tinos" w:eastAsia="Tinos" w:cs="Tinos"/>
          <w:sz w:val="28"/>
          <w:szCs w:val="28"/>
        </w:rPr>
        <w:t xml:space="preserve">тбрасывается, а сумма налога 50 копеек и более округляется до полного рубля;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-сумма сбора округляется до полного рубля.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Государственная пошлина, являющаяся </w:t>
      </w:r>
      <w:r>
        <w:rPr>
          <w:rFonts w:ascii="Tinos" w:hAnsi="Tinos" w:eastAsia="Tinos" w:cs="Tinos"/>
          <w:sz w:val="28"/>
          <w:szCs w:val="28"/>
        </w:rPr>
        <w:t xml:space="preserve">сбором,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взимаемым с лиц за совершение в отношении них юридически значимых действий, </w:t>
      </w:r>
      <w:r>
        <w:rPr>
          <w:rFonts w:ascii="Tinos" w:hAnsi="Tinos" w:eastAsia="Tinos" w:cs="Tinos"/>
          <w:sz w:val="28"/>
          <w:szCs w:val="28"/>
        </w:rPr>
        <w:t xml:space="preserve">округляется до полного рубля, - отмечает</w:t>
      </w:r>
      <w:r>
        <w:rPr>
          <w:rFonts w:ascii="Tinos" w:hAnsi="Tinos" w:eastAsia="Tinos" w:cs="Tinos"/>
          <w:sz w:val="28"/>
          <w:szCs w:val="28"/>
        </w:rPr>
        <w:t xml:space="preserve">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Например, сумма государственной пошлины за государственную регистрацию права общей долевой собственности собственности трех физических лиц на объект недвижимости, кадастровая стоимость которого не превышает 20 000 000 руб., подлежащая уплате каждым</w:t>
      </w:r>
      <w:r>
        <w:rPr>
          <w:rFonts w:ascii="Tinos" w:hAnsi="Tinos" w:eastAsia="Tinos" w:cs="Tinos"/>
          <w:sz w:val="28"/>
          <w:szCs w:val="28"/>
        </w:rPr>
        <w:t xml:space="preserve"> участником общей долевой собственности, составит 1334 рубля (4000 рублей делим на 3, полученная сумма сумма 1333,33 округляется до полного рубля, следовате</w:t>
      </w:r>
      <w:r>
        <w:rPr>
          <w:rFonts w:ascii="Tinos" w:hAnsi="Tinos" w:eastAsia="Tinos" w:cs="Tinos"/>
          <w:sz w:val="28"/>
          <w:szCs w:val="28"/>
        </w:rPr>
        <w:t xml:space="preserve">льно, государственная пошлина составит 1334 рубля).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before="57" w:beforeAutospacing="0" w:after="57" w:afterAutospacing="0" w:line="283" w:lineRule="atLeast"/>
        <w:rPr>
          <w:rFonts w:ascii="Tinos" w:hAnsi="Tinos" w:cs="Tinos"/>
          <w:b/>
          <w:bCs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Таким образом, сумма государственной пошлины, подлежит исчислению </w:t>
      </w:r>
      <w:r>
        <w:rPr>
          <w:rFonts w:ascii="Tinos" w:hAnsi="Tinos" w:eastAsia="Tinos" w:cs="Tinos"/>
          <w:sz w:val="28"/>
          <w:szCs w:val="28"/>
        </w:rPr>
        <w:t xml:space="preserve">в соотв</w:t>
      </w:r>
      <w:r>
        <w:rPr>
          <w:rFonts w:ascii="Tinos" w:hAnsi="Tinos" w:eastAsia="Tinos" w:cs="Tinos"/>
          <w:sz w:val="28"/>
          <w:szCs w:val="28"/>
        </w:rPr>
        <w:t xml:space="preserve">етствии с положениями пункта 6 статьи 52 Налогового кодекса РФ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(сумма округляется до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полного рубля).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#Госпошлина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2025-07-16T04:38:32Z</dcterms:modified>
</cp:coreProperties>
</file>